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75E17" w14:textId="77777777" w:rsidR="007722D7" w:rsidRPr="00C30B05" w:rsidRDefault="006813C3" w:rsidP="006813C3">
      <w:pPr>
        <w:jc w:val="center"/>
        <w:rPr>
          <w:rFonts w:ascii="Franklin Gothic Book" w:hAnsi="Franklin Gothic Book"/>
          <w:b/>
          <w:sz w:val="28"/>
          <w:u w:val="single"/>
        </w:rPr>
      </w:pPr>
      <w:r w:rsidRPr="00C30B05">
        <w:rPr>
          <w:rFonts w:ascii="Franklin Gothic Book" w:hAnsi="Franklin Gothic Book"/>
          <w:b/>
          <w:sz w:val="28"/>
          <w:u w:val="single"/>
        </w:rPr>
        <w:t xml:space="preserve">Ms </w:t>
      </w:r>
      <w:r w:rsidR="00BC43C5" w:rsidRPr="00C30B05">
        <w:rPr>
          <w:rFonts w:ascii="Franklin Gothic Book" w:hAnsi="Franklin Gothic Book"/>
          <w:b/>
          <w:sz w:val="28"/>
          <w:u w:val="single"/>
        </w:rPr>
        <w:t>Anna Moon</w:t>
      </w:r>
    </w:p>
    <w:p w14:paraId="3711788E" w14:textId="77777777" w:rsidR="00BC43C5" w:rsidRPr="00C30B05" w:rsidRDefault="00C30B05" w:rsidP="00F42311">
      <w:pPr>
        <w:jc w:val="center"/>
        <w:rPr>
          <w:rFonts w:ascii="Franklin Gothic Book" w:hAnsi="Franklin Gothic Book"/>
          <w:b/>
          <w:u w:val="single"/>
        </w:rPr>
      </w:pPr>
      <w:r>
        <w:rPr>
          <w:rFonts w:ascii="Franklin Gothic Book" w:hAnsi="Franklin Gothic Book"/>
          <w:b/>
          <w:u w:val="single"/>
        </w:rPr>
        <w:t xml:space="preserve">Medico-Legal </w:t>
      </w:r>
      <w:r w:rsidR="007F5C45" w:rsidRPr="00C30B05">
        <w:rPr>
          <w:rFonts w:ascii="Franklin Gothic Book" w:hAnsi="Franklin Gothic Book"/>
          <w:b/>
          <w:u w:val="single"/>
        </w:rPr>
        <w:t>Terms of Engagement</w:t>
      </w:r>
    </w:p>
    <w:p w14:paraId="344AB2DF" w14:textId="77777777" w:rsidR="00477A18" w:rsidRPr="00C30B05" w:rsidRDefault="00FB3513" w:rsidP="00F42311">
      <w:pPr>
        <w:jc w:val="both"/>
        <w:rPr>
          <w:rFonts w:ascii="Franklin Gothic Book" w:hAnsi="Franklin Gothic Book"/>
        </w:rPr>
      </w:pPr>
      <w:r w:rsidRPr="00C30B05">
        <w:rPr>
          <w:rFonts w:ascii="Franklin Gothic Book" w:hAnsi="Franklin Gothic Book"/>
        </w:rPr>
        <w:t>An i</w:t>
      </w:r>
      <w:r w:rsidR="00477A18" w:rsidRPr="00C30B05">
        <w:rPr>
          <w:rFonts w:ascii="Franklin Gothic Book" w:hAnsi="Franklin Gothic Book"/>
        </w:rPr>
        <w:t>nstructing</w:t>
      </w:r>
      <w:r w:rsidRPr="00C30B05">
        <w:rPr>
          <w:rFonts w:ascii="Franklin Gothic Book" w:hAnsi="Franklin Gothic Book"/>
        </w:rPr>
        <w:t xml:space="preserve"> solicitor (my Client)</w:t>
      </w:r>
      <w:r w:rsidR="00BC43C5" w:rsidRPr="00C30B05">
        <w:rPr>
          <w:rFonts w:ascii="Franklin Gothic Book" w:hAnsi="Franklin Gothic Book"/>
        </w:rPr>
        <w:t xml:space="preserve"> shall treat all information supplied by Ms Moon </w:t>
      </w:r>
      <w:r w:rsidRPr="00C30B05">
        <w:rPr>
          <w:rFonts w:ascii="Franklin Gothic Book" w:hAnsi="Franklin Gothic Book"/>
        </w:rPr>
        <w:t xml:space="preserve">(me) </w:t>
      </w:r>
      <w:r w:rsidR="00BC43C5" w:rsidRPr="00C30B05">
        <w:rPr>
          <w:rFonts w:ascii="Franklin Gothic Book" w:hAnsi="Franklin Gothic Book"/>
        </w:rPr>
        <w:t xml:space="preserve">as confidential and shall not disclose indirectly or directly or otherwise use this information </w:t>
      </w:r>
      <w:r w:rsidR="00477A18" w:rsidRPr="00C30B05">
        <w:rPr>
          <w:rFonts w:ascii="Franklin Gothic Book" w:hAnsi="Franklin Gothic Book"/>
        </w:rPr>
        <w:t>except for the purposes of the specified litigation without the prior consent of Ms Moon.</w:t>
      </w:r>
    </w:p>
    <w:p w14:paraId="30BCD78D" w14:textId="62FFC72F" w:rsidR="007F5C45" w:rsidRDefault="001B2241" w:rsidP="00C30B05">
      <w:pPr>
        <w:pStyle w:val="ListParagraph"/>
        <w:numPr>
          <w:ilvl w:val="0"/>
          <w:numId w:val="1"/>
        </w:numPr>
        <w:spacing w:after="120" w:line="240" w:lineRule="auto"/>
        <w:ind w:left="714" w:hanging="357"/>
        <w:jc w:val="both"/>
        <w:rPr>
          <w:rFonts w:ascii="Franklin Gothic Book" w:hAnsi="Franklin Gothic Book"/>
        </w:rPr>
      </w:pPr>
      <w:r>
        <w:rPr>
          <w:rFonts w:ascii="Franklin Gothic Book" w:hAnsi="Franklin Gothic Book"/>
        </w:rPr>
        <w:t>My fee is £3</w:t>
      </w:r>
      <w:r w:rsidR="00641F26">
        <w:rPr>
          <w:rFonts w:ascii="Franklin Gothic Book" w:hAnsi="Franklin Gothic Book"/>
        </w:rPr>
        <w:t>5</w:t>
      </w:r>
      <w:r w:rsidR="007F5C45" w:rsidRPr="00C30B05">
        <w:rPr>
          <w:rFonts w:ascii="Franklin Gothic Book" w:hAnsi="Franklin Gothic Book"/>
        </w:rPr>
        <w:t>0.00 per hour or part thereof on a pro rata basis</w:t>
      </w:r>
      <w:r w:rsidR="00CD1DBA" w:rsidRPr="00C30B05">
        <w:rPr>
          <w:rFonts w:ascii="Franklin Gothic Book" w:hAnsi="Franklin Gothic Book"/>
        </w:rPr>
        <w:t>.</w:t>
      </w:r>
    </w:p>
    <w:p w14:paraId="57A5FB16" w14:textId="77777777" w:rsidR="00C30B05" w:rsidRPr="00C30B05" w:rsidRDefault="00C30B05" w:rsidP="00C30B05">
      <w:pPr>
        <w:pStyle w:val="ListParagraph"/>
        <w:spacing w:after="120" w:line="240" w:lineRule="auto"/>
        <w:ind w:left="714"/>
        <w:jc w:val="both"/>
        <w:rPr>
          <w:rFonts w:ascii="Franklin Gothic Book" w:hAnsi="Franklin Gothic Book"/>
          <w:sz w:val="10"/>
        </w:rPr>
      </w:pPr>
    </w:p>
    <w:p w14:paraId="159E640B" w14:textId="77777777" w:rsidR="007F5C45" w:rsidRDefault="007F5C45"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My rate for atten</w:t>
      </w:r>
      <w:r w:rsidR="001B2241">
        <w:rPr>
          <w:rFonts w:ascii="Franklin Gothic Book" w:hAnsi="Franklin Gothic Book"/>
        </w:rPr>
        <w:t>dance at a Court Hearing is £3,5</w:t>
      </w:r>
      <w:r w:rsidRPr="00C30B05">
        <w:rPr>
          <w:rFonts w:ascii="Franklin Gothic Book" w:hAnsi="Franklin Gothic Book"/>
        </w:rPr>
        <w:t xml:space="preserve">00.00 per day or part thereof, </w:t>
      </w:r>
      <w:r w:rsidR="00147633">
        <w:rPr>
          <w:rFonts w:ascii="Franklin Gothic Book" w:hAnsi="Franklin Gothic Book"/>
        </w:rPr>
        <w:t>payable</w:t>
      </w:r>
      <w:r w:rsidRPr="00C30B05">
        <w:rPr>
          <w:rFonts w:ascii="Franklin Gothic Book" w:hAnsi="Franklin Gothic Book"/>
        </w:rPr>
        <w:t xml:space="preserve"> even if I am not requi</w:t>
      </w:r>
      <w:r w:rsidR="004277B9" w:rsidRPr="00C30B05">
        <w:rPr>
          <w:rFonts w:ascii="Franklin Gothic Book" w:hAnsi="Franklin Gothic Book"/>
        </w:rPr>
        <w:t>red to give oral evidence. The full amount will be charged if less than 48 hours’ notice of cancellation of a day reserved for C</w:t>
      </w:r>
      <w:r w:rsidR="001B2241">
        <w:rPr>
          <w:rFonts w:ascii="Franklin Gothic Book" w:hAnsi="Franklin Gothic Book"/>
        </w:rPr>
        <w:t>ourt Attendance is received, £20</w:t>
      </w:r>
      <w:r w:rsidR="004277B9" w:rsidRPr="00C30B05">
        <w:rPr>
          <w:rFonts w:ascii="Franklin Gothic Book" w:hAnsi="Franklin Gothic Book"/>
        </w:rPr>
        <w:t>00.00 if l</w:t>
      </w:r>
      <w:r w:rsidR="001B2241">
        <w:rPr>
          <w:rFonts w:ascii="Franklin Gothic Book" w:hAnsi="Franklin Gothic Book"/>
        </w:rPr>
        <w:t>ess than 10 days’ notice and £100</w:t>
      </w:r>
      <w:r w:rsidR="004277B9" w:rsidRPr="00C30B05">
        <w:rPr>
          <w:rFonts w:ascii="Franklin Gothic Book" w:hAnsi="Franklin Gothic Book"/>
        </w:rPr>
        <w:t>0.00 if less than 6 weeks.</w:t>
      </w:r>
    </w:p>
    <w:p w14:paraId="7870C6CB" w14:textId="77777777" w:rsidR="00C30B05" w:rsidRPr="00C30B05" w:rsidRDefault="00C30B05" w:rsidP="00C30B05">
      <w:pPr>
        <w:pStyle w:val="ListParagraph"/>
        <w:spacing w:after="0"/>
        <w:ind w:left="714"/>
        <w:jc w:val="both"/>
        <w:rPr>
          <w:rFonts w:ascii="Franklin Gothic Book" w:hAnsi="Franklin Gothic Book"/>
          <w:sz w:val="10"/>
        </w:rPr>
      </w:pPr>
    </w:p>
    <w:p w14:paraId="198760EB" w14:textId="77777777" w:rsidR="00C30B05" w:rsidRDefault="00253297"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My Client, namely you as the</w:t>
      </w:r>
      <w:r w:rsidR="004277B9" w:rsidRPr="00C30B05">
        <w:rPr>
          <w:rFonts w:ascii="Franklin Gothic Book" w:hAnsi="Franklin Gothic Book"/>
        </w:rPr>
        <w:t xml:space="preserve"> solicitor instructing me as an Expert Witness</w:t>
      </w:r>
      <w:r w:rsidRPr="00C30B05">
        <w:rPr>
          <w:rFonts w:ascii="Franklin Gothic Book" w:hAnsi="Franklin Gothic Book"/>
        </w:rPr>
        <w:t>,</w:t>
      </w:r>
      <w:r w:rsidR="004277B9" w:rsidRPr="00C30B05">
        <w:rPr>
          <w:rFonts w:ascii="Franklin Gothic Book" w:hAnsi="Franklin Gothic Book"/>
        </w:rPr>
        <w:t xml:space="preserve"> will be </w:t>
      </w:r>
      <w:r w:rsidRPr="00C30B05">
        <w:rPr>
          <w:rFonts w:ascii="Franklin Gothic Book" w:hAnsi="Franklin Gothic Book"/>
        </w:rPr>
        <w:t xml:space="preserve">personally </w:t>
      </w:r>
      <w:r w:rsidR="004277B9" w:rsidRPr="00C30B05">
        <w:rPr>
          <w:rFonts w:ascii="Franklin Gothic Book" w:hAnsi="Franklin Gothic Book"/>
        </w:rPr>
        <w:t>responsible for the payment of my fees</w:t>
      </w:r>
      <w:r w:rsidRPr="00C30B05">
        <w:rPr>
          <w:rFonts w:ascii="Franklin Gothic Book" w:hAnsi="Franklin Gothic Book"/>
        </w:rPr>
        <w:t xml:space="preserve"> irrespective of whether your client has paid you</w:t>
      </w:r>
      <w:r w:rsidR="004277B9" w:rsidRPr="00C30B05">
        <w:rPr>
          <w:rFonts w:ascii="Franklin Gothic Book" w:hAnsi="Franklin Gothic Book"/>
        </w:rPr>
        <w:t>. In legally aided cases, where my fees constitute a disbursement, I expect you to make a prompt claim to the Legal Aid Agency, and to advise me of any expected delay in settlement</w:t>
      </w:r>
      <w:r w:rsidRPr="00C30B05">
        <w:rPr>
          <w:rFonts w:ascii="Franklin Gothic Book" w:hAnsi="Franklin Gothic Book"/>
        </w:rPr>
        <w:t>.</w:t>
      </w:r>
    </w:p>
    <w:p w14:paraId="799DE4EB" w14:textId="77777777" w:rsidR="00C30B05" w:rsidRPr="00C30B05" w:rsidRDefault="00C30B05" w:rsidP="00C30B05">
      <w:pPr>
        <w:pStyle w:val="ListParagraph"/>
        <w:spacing w:after="0"/>
        <w:ind w:left="714"/>
        <w:jc w:val="both"/>
        <w:rPr>
          <w:rFonts w:ascii="Franklin Gothic Book" w:hAnsi="Franklin Gothic Book"/>
          <w:sz w:val="10"/>
        </w:rPr>
      </w:pPr>
    </w:p>
    <w:p w14:paraId="39640B80" w14:textId="275610DB" w:rsidR="00C30B05" w:rsidRDefault="00253297"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Upon release of the report</w:t>
      </w:r>
      <w:r w:rsidR="003172A1" w:rsidRPr="00C30B05">
        <w:rPr>
          <w:rFonts w:ascii="Franklin Gothic Book" w:hAnsi="Franklin Gothic Book"/>
        </w:rPr>
        <w:t>,</w:t>
      </w:r>
      <w:r w:rsidRPr="00C30B05">
        <w:rPr>
          <w:rFonts w:ascii="Franklin Gothic Book" w:hAnsi="Franklin Gothic Book"/>
        </w:rPr>
        <w:t xml:space="preserve"> settlement of</w:t>
      </w:r>
      <w:r w:rsidR="00FE12E9">
        <w:rPr>
          <w:rFonts w:ascii="Franklin Gothic Book" w:hAnsi="Franklin Gothic Book"/>
        </w:rPr>
        <w:t xml:space="preserve"> </w:t>
      </w:r>
      <w:r w:rsidR="001B2241">
        <w:rPr>
          <w:rFonts w:ascii="Franklin Gothic Book" w:hAnsi="Franklin Gothic Book"/>
        </w:rPr>
        <w:t xml:space="preserve">my fees should be made within </w:t>
      </w:r>
      <w:r w:rsidR="008114CA">
        <w:rPr>
          <w:rFonts w:ascii="Franklin Gothic Book" w:hAnsi="Franklin Gothic Book"/>
        </w:rPr>
        <w:t>4</w:t>
      </w:r>
      <w:r w:rsidRPr="00C30B05">
        <w:rPr>
          <w:rFonts w:ascii="Franklin Gothic Book" w:hAnsi="Franklin Gothic Book"/>
        </w:rPr>
        <w:t xml:space="preserve"> weeks of the date of the covering letter.  </w:t>
      </w:r>
      <w:r w:rsidR="003172A1" w:rsidRPr="00C30B05">
        <w:rPr>
          <w:rFonts w:ascii="Franklin Gothic Book" w:hAnsi="Franklin Gothic Book"/>
        </w:rPr>
        <w:t xml:space="preserve">For attendance at Court or Conferences payment is to </w:t>
      </w:r>
      <w:r w:rsidR="00FE12E9">
        <w:rPr>
          <w:rFonts w:ascii="Franklin Gothic Book" w:hAnsi="Franklin Gothic Book"/>
        </w:rPr>
        <w:t xml:space="preserve">be made within </w:t>
      </w:r>
      <w:r w:rsidR="008114CA">
        <w:rPr>
          <w:rFonts w:ascii="Franklin Gothic Book" w:hAnsi="Franklin Gothic Book"/>
        </w:rPr>
        <w:t>8</w:t>
      </w:r>
      <w:r w:rsidR="003172A1" w:rsidRPr="00C30B05">
        <w:rPr>
          <w:rFonts w:ascii="Franklin Gothic Book" w:hAnsi="Franklin Gothic Book"/>
        </w:rPr>
        <w:t xml:space="preserve"> weeks of the Hearing or Conference. A delay in payment will incur an interest charge at market rate for each week or part thereof added to which further reports and co-operation will be withheld until payment is received. </w:t>
      </w:r>
      <w:r w:rsidR="00AF6573">
        <w:rPr>
          <w:rFonts w:ascii="Franklin Gothic Book" w:hAnsi="Franklin Gothic Book"/>
        </w:rPr>
        <w:t>The report will be released in draft format pending payment of my fees, upon</w:t>
      </w:r>
      <w:r w:rsidR="003C3F00">
        <w:rPr>
          <w:rFonts w:ascii="Franklin Gothic Book" w:hAnsi="Franklin Gothic Book"/>
        </w:rPr>
        <w:t xml:space="preserve"> receipt of</w:t>
      </w:r>
      <w:r w:rsidR="00AF6573">
        <w:rPr>
          <w:rFonts w:ascii="Franklin Gothic Book" w:hAnsi="Franklin Gothic Book"/>
        </w:rPr>
        <w:t xml:space="preserve"> whic</w:t>
      </w:r>
      <w:r w:rsidR="003C3F00">
        <w:rPr>
          <w:rFonts w:ascii="Franklin Gothic Book" w:hAnsi="Franklin Gothic Book"/>
        </w:rPr>
        <w:t>h the draft watermark will be removed.</w:t>
      </w:r>
    </w:p>
    <w:p w14:paraId="4E19F85A" w14:textId="77777777" w:rsidR="00C30B05" w:rsidRPr="00C30B05" w:rsidRDefault="00C30B05" w:rsidP="00C30B05">
      <w:pPr>
        <w:pStyle w:val="ListParagraph"/>
        <w:spacing w:after="0"/>
        <w:ind w:left="714"/>
        <w:jc w:val="both"/>
        <w:rPr>
          <w:rFonts w:ascii="Franklin Gothic Book" w:hAnsi="Franklin Gothic Book"/>
          <w:sz w:val="10"/>
        </w:rPr>
      </w:pPr>
    </w:p>
    <w:p w14:paraId="55598024" w14:textId="77777777" w:rsidR="00253297" w:rsidRDefault="003172A1"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 xml:space="preserve">The amount due to me shall not be subject to taxation by the Court, and I look to you, my Client, to fund any assessment deducted relating to the </w:t>
      </w:r>
      <w:r w:rsidR="00FB3513" w:rsidRPr="00C30B05">
        <w:rPr>
          <w:rFonts w:ascii="Franklin Gothic Book" w:hAnsi="Franklin Gothic Book"/>
        </w:rPr>
        <w:t>Case, at any time</w:t>
      </w:r>
      <w:r w:rsidRPr="00C30B05">
        <w:rPr>
          <w:rFonts w:ascii="Franklin Gothic Book" w:hAnsi="Franklin Gothic Book"/>
        </w:rPr>
        <w:t>.</w:t>
      </w:r>
    </w:p>
    <w:p w14:paraId="6595D10C" w14:textId="77777777" w:rsidR="00C30B05" w:rsidRPr="00C30B05" w:rsidRDefault="00C30B05" w:rsidP="00C30B05">
      <w:pPr>
        <w:pStyle w:val="ListParagraph"/>
        <w:spacing w:after="0"/>
        <w:ind w:left="714"/>
        <w:jc w:val="both"/>
        <w:rPr>
          <w:rFonts w:ascii="Franklin Gothic Book" w:hAnsi="Franklin Gothic Book"/>
          <w:sz w:val="10"/>
        </w:rPr>
      </w:pPr>
    </w:p>
    <w:p w14:paraId="3F81AFBF" w14:textId="77777777" w:rsidR="00C30B05" w:rsidRPr="00C30B05" w:rsidRDefault="00C30B05" w:rsidP="00C30B05">
      <w:pPr>
        <w:pStyle w:val="ListParagraph"/>
        <w:spacing w:after="0"/>
        <w:ind w:left="714"/>
        <w:jc w:val="both"/>
        <w:rPr>
          <w:rFonts w:ascii="Franklin Gothic Book" w:hAnsi="Franklin Gothic Book"/>
          <w:sz w:val="10"/>
        </w:rPr>
      </w:pPr>
    </w:p>
    <w:p w14:paraId="6D400BEC" w14:textId="77777777" w:rsidR="00C30B05" w:rsidRDefault="00FB3513"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 xml:space="preserve">My liability to you as my Client and/or your clients for negligence howeverso arising in respect of any loss or damage caused by an act or default of </w:t>
      </w:r>
      <w:r w:rsidR="006813C3" w:rsidRPr="00C30B05">
        <w:rPr>
          <w:rFonts w:ascii="Franklin Gothic Book" w:hAnsi="Franklin Gothic Book"/>
        </w:rPr>
        <w:t>me</w:t>
      </w:r>
      <w:r w:rsidRPr="00C30B05">
        <w:rPr>
          <w:rFonts w:ascii="Franklin Gothic Book" w:hAnsi="Franklin Gothic Book"/>
        </w:rPr>
        <w:t xml:space="preserve"> shall by limited to the amount received by me for my services.</w:t>
      </w:r>
    </w:p>
    <w:p w14:paraId="4D165F42" w14:textId="77777777" w:rsidR="00C30B05" w:rsidRPr="00C30B05" w:rsidRDefault="00C30B05" w:rsidP="00C30B05">
      <w:pPr>
        <w:pStyle w:val="ListParagraph"/>
        <w:spacing w:after="0"/>
        <w:ind w:left="714"/>
        <w:jc w:val="both"/>
        <w:rPr>
          <w:rFonts w:ascii="Franklin Gothic Book" w:hAnsi="Franklin Gothic Book"/>
          <w:sz w:val="10"/>
        </w:rPr>
      </w:pPr>
    </w:p>
    <w:p w14:paraId="6E5150FF" w14:textId="77777777" w:rsidR="006813C3" w:rsidRDefault="006813C3"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I will use my experience, care and skill in fulfilling your instructions to the best of my ability. Please remember that I am engaged as an independent witness.</w:t>
      </w:r>
    </w:p>
    <w:p w14:paraId="409D47AA" w14:textId="77777777" w:rsidR="00C30B05" w:rsidRPr="00C30B05" w:rsidRDefault="00C30B05" w:rsidP="00C30B05">
      <w:pPr>
        <w:pStyle w:val="ListParagraph"/>
        <w:spacing w:after="0"/>
        <w:ind w:left="714"/>
        <w:jc w:val="both"/>
        <w:rPr>
          <w:rFonts w:ascii="Franklin Gothic Book" w:hAnsi="Franklin Gothic Book"/>
          <w:sz w:val="10"/>
        </w:rPr>
      </w:pPr>
    </w:p>
    <w:p w14:paraId="6CD31681" w14:textId="74EFDE7B" w:rsidR="006813C3" w:rsidRDefault="006813C3"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The provision of all medical notes, x-rays and other imaging relating to the case is the responsibility of the instructing solicitor.  Full and complete disclosure of the past medical history of the client is essential to the report.</w:t>
      </w:r>
      <w:r w:rsidR="004F4593">
        <w:rPr>
          <w:rFonts w:ascii="Franklin Gothic Book" w:hAnsi="Franklin Gothic Book"/>
        </w:rPr>
        <w:t xml:space="preserve"> Documentation must be presented in chronological order and paginated.</w:t>
      </w:r>
    </w:p>
    <w:p w14:paraId="79133338" w14:textId="77777777" w:rsidR="00C30B05" w:rsidRPr="00C30B05" w:rsidRDefault="00C30B05" w:rsidP="00C30B05">
      <w:pPr>
        <w:pStyle w:val="ListParagraph"/>
        <w:spacing w:after="0"/>
        <w:ind w:left="714"/>
        <w:jc w:val="both"/>
        <w:rPr>
          <w:rFonts w:ascii="Franklin Gothic Book" w:hAnsi="Franklin Gothic Book"/>
          <w:sz w:val="10"/>
        </w:rPr>
      </w:pPr>
    </w:p>
    <w:p w14:paraId="70A0DBF5" w14:textId="77777777" w:rsidR="006813C3" w:rsidRDefault="006813C3"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I require to be closely informed on the progress of the case and may be able to assist in the period before trial, if the case proceeds to that stage.</w:t>
      </w:r>
    </w:p>
    <w:p w14:paraId="66234681" w14:textId="77777777" w:rsidR="00C30B05" w:rsidRDefault="00C30B05" w:rsidP="00C30B05">
      <w:pPr>
        <w:pStyle w:val="ListParagraph"/>
        <w:spacing w:after="0"/>
        <w:ind w:left="714"/>
        <w:jc w:val="both"/>
        <w:rPr>
          <w:rFonts w:ascii="Franklin Gothic Book" w:hAnsi="Franklin Gothic Book"/>
        </w:rPr>
      </w:pPr>
      <w:r>
        <w:rPr>
          <w:rFonts w:ascii="Franklin Gothic Book" w:hAnsi="Franklin Gothic Book"/>
        </w:rPr>
        <w:br w:type="page"/>
      </w:r>
    </w:p>
    <w:p w14:paraId="7254B07B" w14:textId="77777777" w:rsidR="00C30B05" w:rsidRPr="00C30B05" w:rsidRDefault="00C30B05" w:rsidP="00C30B05">
      <w:pPr>
        <w:pStyle w:val="ListParagraph"/>
        <w:spacing w:after="0"/>
        <w:ind w:left="714"/>
        <w:jc w:val="both"/>
        <w:rPr>
          <w:rFonts w:ascii="Franklin Gothic Book" w:hAnsi="Franklin Gothic Book"/>
        </w:rPr>
      </w:pPr>
    </w:p>
    <w:p w14:paraId="360354EC" w14:textId="77777777" w:rsidR="006813C3" w:rsidRPr="00C30B05" w:rsidRDefault="00F42311" w:rsidP="00C30B05">
      <w:pPr>
        <w:pStyle w:val="ListParagraph"/>
        <w:numPr>
          <w:ilvl w:val="0"/>
          <w:numId w:val="1"/>
        </w:numPr>
        <w:spacing w:after="0"/>
        <w:ind w:left="714" w:hanging="357"/>
        <w:jc w:val="both"/>
        <w:rPr>
          <w:rFonts w:ascii="Franklin Gothic Book" w:hAnsi="Franklin Gothic Book"/>
        </w:rPr>
      </w:pPr>
      <w:r w:rsidRPr="00C30B05">
        <w:rPr>
          <w:rFonts w:ascii="Franklin Gothic Book" w:hAnsi="Franklin Gothic Book"/>
        </w:rPr>
        <w:t>Attendance at Court will be in accordance only with the guidelines issued by the Law Society in “Code of Practice for Medico-Legal Reports in Personal Injury Cases” January 1995, which reads as follows:</w:t>
      </w:r>
    </w:p>
    <w:p w14:paraId="38DDAD7D" w14:textId="77777777" w:rsidR="00637070" w:rsidRPr="00C30B05" w:rsidRDefault="00F42311" w:rsidP="00637070">
      <w:pPr>
        <w:ind w:firstLine="360"/>
        <w:jc w:val="both"/>
        <w:rPr>
          <w:rFonts w:ascii="Franklin Gothic Book" w:hAnsi="Franklin Gothic Book"/>
        </w:rPr>
      </w:pPr>
      <w:r w:rsidRPr="00C30B05">
        <w:rPr>
          <w:rFonts w:ascii="Franklin Gothic Book" w:hAnsi="Franklin Gothic Book"/>
        </w:rPr>
        <w:t xml:space="preserve">“If the case proceeds to </w:t>
      </w:r>
      <w:r w:rsidR="00637070" w:rsidRPr="00C30B05">
        <w:rPr>
          <w:rFonts w:ascii="Franklin Gothic Book" w:hAnsi="Franklin Gothic Book"/>
        </w:rPr>
        <w:t>a hearing:</w:t>
      </w:r>
    </w:p>
    <w:p w14:paraId="2B556064" w14:textId="77777777" w:rsidR="00637070" w:rsidRPr="00C30B05" w:rsidRDefault="00637070" w:rsidP="00637070">
      <w:pPr>
        <w:pStyle w:val="ListParagraph"/>
        <w:numPr>
          <w:ilvl w:val="0"/>
          <w:numId w:val="2"/>
        </w:numPr>
        <w:ind w:left="709"/>
        <w:jc w:val="both"/>
        <w:rPr>
          <w:rFonts w:ascii="Franklin Gothic Book" w:hAnsi="Franklin Gothic Book"/>
        </w:rPr>
      </w:pPr>
      <w:r w:rsidRPr="00C30B05">
        <w:rPr>
          <w:rFonts w:ascii="Franklin Gothic Book" w:hAnsi="Franklin Gothic Book"/>
        </w:rPr>
        <w:t>The Solicitor should:</w:t>
      </w:r>
    </w:p>
    <w:p w14:paraId="055F96DA" w14:textId="77777777" w:rsidR="00637070" w:rsidRPr="00C30B05" w:rsidRDefault="00637070" w:rsidP="00637070">
      <w:pPr>
        <w:pStyle w:val="ListParagraph"/>
        <w:ind w:left="709"/>
        <w:jc w:val="both"/>
        <w:rPr>
          <w:rFonts w:ascii="Franklin Gothic Book" w:hAnsi="Franklin Gothic Book"/>
        </w:rPr>
      </w:pPr>
    </w:p>
    <w:p w14:paraId="3F2AD75A" w14:textId="77777777" w:rsidR="00637070" w:rsidRPr="00C30B05" w:rsidRDefault="00637070" w:rsidP="00637070">
      <w:pPr>
        <w:pStyle w:val="ListParagraph"/>
        <w:numPr>
          <w:ilvl w:val="0"/>
          <w:numId w:val="6"/>
        </w:numPr>
        <w:ind w:hanging="371"/>
        <w:jc w:val="both"/>
        <w:rPr>
          <w:rFonts w:ascii="Franklin Gothic Book" w:hAnsi="Franklin Gothic Book"/>
        </w:rPr>
      </w:pPr>
      <w:r w:rsidRPr="00C30B05">
        <w:rPr>
          <w:rFonts w:ascii="Franklin Gothic Book" w:hAnsi="Franklin Gothic Book"/>
        </w:rPr>
        <w:t>Notify the medical examiner that the case has been set down for hearing and, once the case has been entered in the Warned List, would request a list of dates when the medical examiner is unavailable to attend Court during the period of that List;</w:t>
      </w:r>
    </w:p>
    <w:p w14:paraId="69946D56" w14:textId="77777777" w:rsidR="00637070" w:rsidRPr="00C30B05" w:rsidRDefault="00637070" w:rsidP="00B0268C">
      <w:pPr>
        <w:pStyle w:val="ListParagraph"/>
        <w:numPr>
          <w:ilvl w:val="0"/>
          <w:numId w:val="6"/>
        </w:numPr>
        <w:ind w:hanging="371"/>
        <w:jc w:val="both"/>
        <w:rPr>
          <w:rFonts w:ascii="Franklin Gothic Book" w:hAnsi="Franklin Gothic Book"/>
        </w:rPr>
      </w:pPr>
      <w:r w:rsidRPr="00C30B05">
        <w:rPr>
          <w:rFonts w:ascii="Franklin Gothic Book" w:hAnsi="Franklin Gothic Book"/>
        </w:rPr>
        <w:t>Not agree to a hearing date on one of the examiner’s unavailable dates;</w:t>
      </w:r>
    </w:p>
    <w:p w14:paraId="7E336DAE" w14:textId="77777777" w:rsidR="00637070" w:rsidRPr="00C30B05" w:rsidRDefault="00637070" w:rsidP="00B0268C">
      <w:pPr>
        <w:pStyle w:val="ListParagraph"/>
        <w:numPr>
          <w:ilvl w:val="0"/>
          <w:numId w:val="6"/>
        </w:numPr>
        <w:ind w:hanging="371"/>
        <w:jc w:val="both"/>
        <w:rPr>
          <w:rFonts w:ascii="Franklin Gothic Book" w:hAnsi="Franklin Gothic Book"/>
        </w:rPr>
      </w:pPr>
      <w:r w:rsidRPr="00C30B05">
        <w:rPr>
          <w:rFonts w:ascii="Franklin Gothic Book" w:hAnsi="Franklin Gothic Book"/>
        </w:rPr>
        <w:t>Ascertain the fee for attending Court and be in a position to pay that fee within 6 weeks of the Court attendance;</w:t>
      </w:r>
    </w:p>
    <w:p w14:paraId="1603AC91" w14:textId="77777777" w:rsidR="00637070" w:rsidRPr="00C30B05" w:rsidRDefault="00637070" w:rsidP="00B0268C">
      <w:pPr>
        <w:pStyle w:val="ListParagraph"/>
        <w:numPr>
          <w:ilvl w:val="0"/>
          <w:numId w:val="6"/>
        </w:numPr>
        <w:ind w:hanging="371"/>
        <w:jc w:val="both"/>
        <w:rPr>
          <w:rFonts w:ascii="Franklin Gothic Book" w:hAnsi="Franklin Gothic Book"/>
        </w:rPr>
      </w:pPr>
      <w:r w:rsidRPr="00C30B05">
        <w:rPr>
          <w:rFonts w:ascii="Franklin Gothic Book" w:hAnsi="Franklin Gothic Book"/>
        </w:rPr>
        <w:t>Where appropriate, arrange and attend a conference with Counsel and the medical examiner and other relevant experts prior to the hearing;</w:t>
      </w:r>
    </w:p>
    <w:p w14:paraId="25FFEFFF" w14:textId="77777777" w:rsidR="00637070" w:rsidRPr="00C30B05" w:rsidRDefault="00637070" w:rsidP="00B0268C">
      <w:pPr>
        <w:pStyle w:val="ListParagraph"/>
        <w:numPr>
          <w:ilvl w:val="0"/>
          <w:numId w:val="6"/>
        </w:numPr>
        <w:ind w:hanging="371"/>
        <w:jc w:val="both"/>
        <w:rPr>
          <w:rFonts w:ascii="Franklin Gothic Book" w:hAnsi="Franklin Gothic Book"/>
        </w:rPr>
      </w:pPr>
      <w:r w:rsidRPr="00C30B05">
        <w:rPr>
          <w:rFonts w:ascii="Franklin Gothic Book" w:hAnsi="Franklin Gothic Book"/>
        </w:rPr>
        <w:t>As soon as the hearing date is known, inform the medical examiner;</w:t>
      </w:r>
    </w:p>
    <w:p w14:paraId="66A6E1C0" w14:textId="77777777" w:rsidR="00637070" w:rsidRPr="00C30B05" w:rsidRDefault="00637070" w:rsidP="00B0268C">
      <w:pPr>
        <w:pStyle w:val="ListParagraph"/>
        <w:numPr>
          <w:ilvl w:val="0"/>
          <w:numId w:val="6"/>
        </w:numPr>
        <w:ind w:hanging="371"/>
        <w:jc w:val="both"/>
        <w:rPr>
          <w:rFonts w:ascii="Franklin Gothic Book" w:hAnsi="Franklin Gothic Book"/>
        </w:rPr>
      </w:pPr>
      <w:r w:rsidRPr="00C30B05">
        <w:rPr>
          <w:rFonts w:ascii="Franklin Gothic Book" w:hAnsi="Franklin Gothic Book"/>
        </w:rPr>
        <w:t>Endeavour to ensure that the medical examiner’s attendance is limited to half a day</w:t>
      </w:r>
      <w:r w:rsidR="00B0268C" w:rsidRPr="00C30B05">
        <w:rPr>
          <w:rFonts w:ascii="Franklin Gothic Book" w:hAnsi="Franklin Gothic Book"/>
        </w:rPr>
        <w:t>.</w:t>
      </w:r>
    </w:p>
    <w:p w14:paraId="2B2F73F8" w14:textId="77777777" w:rsidR="00B0268C" w:rsidRPr="00C30B05" w:rsidRDefault="00B0268C" w:rsidP="00B0268C">
      <w:pPr>
        <w:pStyle w:val="ListParagraph"/>
        <w:ind w:left="1080"/>
        <w:jc w:val="both"/>
        <w:rPr>
          <w:rFonts w:ascii="Franklin Gothic Book" w:hAnsi="Franklin Gothic Book"/>
        </w:rPr>
      </w:pPr>
    </w:p>
    <w:p w14:paraId="5680B62D" w14:textId="77777777" w:rsidR="00B0268C" w:rsidRPr="00C30B05" w:rsidRDefault="00637070" w:rsidP="00B0268C">
      <w:pPr>
        <w:pStyle w:val="ListParagraph"/>
        <w:numPr>
          <w:ilvl w:val="0"/>
          <w:numId w:val="2"/>
        </w:numPr>
        <w:ind w:left="709" w:hanging="371"/>
        <w:jc w:val="both"/>
        <w:rPr>
          <w:rFonts w:ascii="Franklin Gothic Book" w:hAnsi="Franklin Gothic Book"/>
        </w:rPr>
      </w:pPr>
      <w:r w:rsidRPr="00C30B05">
        <w:rPr>
          <w:rFonts w:ascii="Franklin Gothic Book" w:hAnsi="Franklin Gothic Book"/>
        </w:rPr>
        <w:t>The Medical</w:t>
      </w:r>
      <w:r w:rsidR="00B0268C" w:rsidRPr="00C30B05">
        <w:rPr>
          <w:rFonts w:ascii="Franklin Gothic Book" w:hAnsi="Franklin Gothic Book"/>
        </w:rPr>
        <w:t xml:space="preserve"> Examiner should:</w:t>
      </w:r>
    </w:p>
    <w:p w14:paraId="22D9C852" w14:textId="77777777" w:rsidR="00637070" w:rsidRPr="00C30B05" w:rsidRDefault="00637070" w:rsidP="00B0268C">
      <w:pPr>
        <w:pStyle w:val="ListParagraph"/>
        <w:ind w:left="709"/>
        <w:jc w:val="both"/>
        <w:rPr>
          <w:rFonts w:ascii="Franklin Gothic Book" w:hAnsi="Franklin Gothic Book"/>
        </w:rPr>
      </w:pPr>
    </w:p>
    <w:p w14:paraId="17E6C1D1" w14:textId="77777777" w:rsidR="00B0268C" w:rsidRPr="00C30B05" w:rsidRDefault="00B0268C" w:rsidP="00B0268C">
      <w:pPr>
        <w:pStyle w:val="ListParagraph"/>
        <w:numPr>
          <w:ilvl w:val="0"/>
          <w:numId w:val="7"/>
        </w:numPr>
        <w:jc w:val="both"/>
        <w:rPr>
          <w:rFonts w:ascii="Franklin Gothic Book" w:hAnsi="Franklin Gothic Book"/>
        </w:rPr>
      </w:pPr>
      <w:r w:rsidRPr="00C30B05">
        <w:rPr>
          <w:rFonts w:ascii="Franklin Gothic Book" w:hAnsi="Franklin Gothic Book"/>
        </w:rPr>
        <w:t>If required, confer with Counsel in advance of the hearing date at a place to be agreed;</w:t>
      </w:r>
    </w:p>
    <w:p w14:paraId="0AA6221B" w14:textId="77777777" w:rsidR="00B0268C" w:rsidRPr="00C30B05" w:rsidRDefault="00B0268C" w:rsidP="00B0268C">
      <w:pPr>
        <w:pStyle w:val="ListParagraph"/>
        <w:numPr>
          <w:ilvl w:val="0"/>
          <w:numId w:val="7"/>
        </w:numPr>
        <w:jc w:val="both"/>
        <w:rPr>
          <w:rFonts w:ascii="Franklin Gothic Book" w:hAnsi="Franklin Gothic Book"/>
        </w:rPr>
      </w:pPr>
      <w:r w:rsidRPr="00C30B05">
        <w:rPr>
          <w:rFonts w:ascii="Franklin Gothic Book" w:hAnsi="Franklin Gothic Book"/>
        </w:rPr>
        <w:t>Attend Court to give evidence without subpoena (provided the hearing date has not been fixed on a previously notified unavailable date); the service of a subpoena on a medical examiner should, if this agreement is observed, rarely be necessary, but it must be recognised that it is sometimes the professional duty of Solicitors to secure the attendance of a witness by subpoena;</w:t>
      </w:r>
    </w:p>
    <w:p w14:paraId="22771B9C" w14:textId="77777777" w:rsidR="00B0268C" w:rsidRPr="00C30B05" w:rsidRDefault="00B0268C" w:rsidP="00B0268C">
      <w:pPr>
        <w:pStyle w:val="ListParagraph"/>
        <w:numPr>
          <w:ilvl w:val="0"/>
          <w:numId w:val="7"/>
        </w:numPr>
        <w:jc w:val="both"/>
        <w:rPr>
          <w:rFonts w:ascii="Franklin Gothic Book" w:hAnsi="Franklin Gothic Book"/>
        </w:rPr>
      </w:pPr>
      <w:r w:rsidRPr="00C30B05">
        <w:rPr>
          <w:rFonts w:ascii="Franklin Gothic Book" w:hAnsi="Franklin Gothic Book"/>
        </w:rPr>
        <w:t>Unforeseen clinical circumstances may mean that the medical examiner’s priority is to attend to patients and not to Court.  Such circumstances should be rare and the onus must be on the medical examiner to justify this exercise of clinical judgement”.</w:t>
      </w:r>
    </w:p>
    <w:p w14:paraId="4E6AF32F" w14:textId="77777777" w:rsidR="00B0268C" w:rsidRPr="00C30B05" w:rsidRDefault="00B0268C" w:rsidP="00B0268C">
      <w:pPr>
        <w:pStyle w:val="ListParagraph"/>
        <w:ind w:left="1429"/>
        <w:jc w:val="both"/>
        <w:rPr>
          <w:rFonts w:ascii="Franklin Gothic Book" w:hAnsi="Franklin Gothic Book"/>
        </w:rPr>
      </w:pPr>
    </w:p>
    <w:p w14:paraId="78001ECC" w14:textId="77777777" w:rsidR="00B0268C" w:rsidRDefault="00B0268C" w:rsidP="00B0268C">
      <w:pPr>
        <w:pStyle w:val="ListParagraph"/>
        <w:numPr>
          <w:ilvl w:val="0"/>
          <w:numId w:val="1"/>
        </w:numPr>
        <w:jc w:val="both"/>
        <w:rPr>
          <w:rFonts w:ascii="Franklin Gothic Book" w:hAnsi="Franklin Gothic Book"/>
        </w:rPr>
      </w:pPr>
      <w:r w:rsidRPr="00C30B05">
        <w:rPr>
          <w:rFonts w:ascii="Franklin Gothic Book" w:hAnsi="Franklin Gothic Book"/>
        </w:rPr>
        <w:t xml:space="preserve"> I will only undertake work</w:t>
      </w:r>
      <w:r w:rsidR="002E5A3A">
        <w:rPr>
          <w:rFonts w:ascii="Franklin Gothic Book" w:hAnsi="Franklin Gothic Book"/>
        </w:rPr>
        <w:t xml:space="preserve"> on the case</w:t>
      </w:r>
      <w:r w:rsidRPr="00C30B05">
        <w:rPr>
          <w:rFonts w:ascii="Franklin Gothic Book" w:hAnsi="Franklin Gothic Book"/>
        </w:rPr>
        <w:t xml:space="preserve"> when your agreement to the above terms has been confirmed to me in writing.</w:t>
      </w:r>
    </w:p>
    <w:p w14:paraId="37AA7850" w14:textId="77777777" w:rsidR="006D25EC" w:rsidRPr="006D25EC" w:rsidRDefault="006D25EC" w:rsidP="006D25EC">
      <w:pPr>
        <w:pStyle w:val="NoSpacing"/>
        <w:jc w:val="center"/>
        <w:rPr>
          <w:rFonts w:ascii="Franklin Gothic Medium" w:hAnsi="Franklin Gothic Medium"/>
          <w:sz w:val="24"/>
          <w:u w:val="single"/>
        </w:rPr>
      </w:pPr>
      <w:r w:rsidRPr="006D25EC">
        <w:rPr>
          <w:rFonts w:ascii="Franklin Gothic Medium" w:hAnsi="Franklin Gothic Medium"/>
          <w:sz w:val="24"/>
          <w:u w:val="single"/>
        </w:rPr>
        <w:t>Bank details for payments:</w:t>
      </w:r>
    </w:p>
    <w:p w14:paraId="21D666D0" w14:textId="77777777" w:rsidR="006D25EC" w:rsidRPr="006D25EC" w:rsidRDefault="006D25EC" w:rsidP="006D25EC">
      <w:pPr>
        <w:pStyle w:val="NoSpacing"/>
        <w:jc w:val="center"/>
        <w:rPr>
          <w:rFonts w:ascii="Franklin Gothic Medium" w:hAnsi="Franklin Gothic Medium"/>
          <w:sz w:val="24"/>
        </w:rPr>
      </w:pPr>
      <w:r w:rsidRPr="006D25EC">
        <w:rPr>
          <w:rFonts w:ascii="Franklin Gothic Medium" w:hAnsi="Franklin Gothic Medium"/>
          <w:sz w:val="24"/>
        </w:rPr>
        <w:t>NatWest Bank Business Account</w:t>
      </w:r>
    </w:p>
    <w:p w14:paraId="3932F38F" w14:textId="77777777" w:rsidR="006D25EC" w:rsidRPr="006D25EC" w:rsidRDefault="006D25EC" w:rsidP="006D25EC">
      <w:pPr>
        <w:pStyle w:val="NoSpacing"/>
        <w:jc w:val="center"/>
        <w:rPr>
          <w:rFonts w:ascii="Franklin Gothic Medium" w:hAnsi="Franklin Gothic Medium"/>
          <w:sz w:val="24"/>
        </w:rPr>
      </w:pPr>
      <w:r w:rsidRPr="006D25EC">
        <w:rPr>
          <w:rFonts w:ascii="Franklin Gothic Medium" w:hAnsi="Franklin Gothic Medium"/>
          <w:sz w:val="24"/>
        </w:rPr>
        <w:t>The Hand Clinic Limited</w:t>
      </w:r>
    </w:p>
    <w:p w14:paraId="72B67F0D" w14:textId="77777777" w:rsidR="006D25EC" w:rsidRPr="006D25EC" w:rsidRDefault="006D25EC" w:rsidP="006D25EC">
      <w:pPr>
        <w:pStyle w:val="NoSpacing"/>
        <w:jc w:val="center"/>
        <w:rPr>
          <w:rFonts w:ascii="Franklin Gothic Medium" w:hAnsi="Franklin Gothic Medium"/>
          <w:sz w:val="24"/>
        </w:rPr>
      </w:pPr>
      <w:r w:rsidRPr="006D25EC">
        <w:rPr>
          <w:rFonts w:ascii="Franklin Gothic Medium" w:hAnsi="Franklin Gothic Medium"/>
          <w:sz w:val="24"/>
        </w:rPr>
        <w:t>Sort code:  55 81 36</w:t>
      </w:r>
    </w:p>
    <w:p w14:paraId="5E350836" w14:textId="77777777" w:rsidR="006D25EC" w:rsidRPr="006D25EC" w:rsidRDefault="006D25EC" w:rsidP="006D25EC">
      <w:pPr>
        <w:pStyle w:val="NoSpacing"/>
        <w:jc w:val="center"/>
        <w:rPr>
          <w:rFonts w:ascii="Franklin Gothic Medium" w:hAnsi="Franklin Gothic Medium"/>
          <w:sz w:val="24"/>
        </w:rPr>
      </w:pPr>
      <w:r w:rsidRPr="006D25EC">
        <w:rPr>
          <w:rFonts w:ascii="Franklin Gothic Medium" w:hAnsi="Franklin Gothic Medium"/>
          <w:sz w:val="24"/>
        </w:rPr>
        <w:t>Account number: 90108655</w:t>
      </w:r>
    </w:p>
    <w:p w14:paraId="3388EE70" w14:textId="77777777" w:rsidR="00477A18" w:rsidRDefault="00477A18"/>
    <w:p w14:paraId="27300AF7" w14:textId="77777777" w:rsidR="00BD5323" w:rsidRDefault="00BD5323"/>
    <w:sectPr w:rsidR="00BD53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933F7" w14:textId="77777777" w:rsidR="006105F8" w:rsidRDefault="006105F8" w:rsidP="00C30B05">
      <w:pPr>
        <w:spacing w:before="0" w:after="0" w:line="240" w:lineRule="auto"/>
      </w:pPr>
      <w:r>
        <w:separator/>
      </w:r>
    </w:p>
  </w:endnote>
  <w:endnote w:type="continuationSeparator" w:id="0">
    <w:p w14:paraId="482D907C" w14:textId="77777777" w:rsidR="006105F8" w:rsidRDefault="006105F8" w:rsidP="00C30B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16655" w14:textId="77777777" w:rsidR="005E31A1" w:rsidRDefault="005E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A0F3F" w14:textId="2819A27E" w:rsidR="00147633" w:rsidRPr="00C30B05" w:rsidRDefault="001B2241" w:rsidP="00147633">
    <w:pPr>
      <w:pStyle w:val="Footer"/>
      <w:jc w:val="right"/>
      <w:rPr>
        <w:rFonts w:ascii="Franklin Gothic Book" w:hAnsi="Franklin Gothic Book"/>
        <w:sz w:val="20"/>
      </w:rPr>
    </w:pPr>
    <w:r>
      <w:rPr>
        <w:rFonts w:ascii="Franklin Gothic Book" w:hAnsi="Franklin Gothic Book"/>
        <w:sz w:val="20"/>
      </w:rPr>
      <w:t>Ms Anna Moon 202</w:t>
    </w:r>
    <w:r w:rsidR="005E31A1">
      <w:rPr>
        <w:rFonts w:ascii="Franklin Gothic Book" w:hAnsi="Franklin Gothic Book"/>
        <w:sz w:val="20"/>
      </w:rPr>
      <w:t>4</w:t>
    </w:r>
  </w:p>
  <w:p w14:paraId="2997C61F" w14:textId="77777777" w:rsidR="00C30B05" w:rsidRDefault="00C30B05">
    <w:pPr>
      <w:pStyle w:val="Footer"/>
    </w:pPr>
  </w:p>
  <w:p w14:paraId="3E984BC2" w14:textId="77777777" w:rsidR="00C30B05" w:rsidRDefault="00C30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3DAEA" w14:textId="77777777" w:rsidR="005E31A1" w:rsidRDefault="005E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908122" w14:textId="77777777" w:rsidR="006105F8" w:rsidRDefault="006105F8" w:rsidP="00C30B05">
      <w:pPr>
        <w:spacing w:before="0" w:after="0" w:line="240" w:lineRule="auto"/>
      </w:pPr>
      <w:r>
        <w:separator/>
      </w:r>
    </w:p>
  </w:footnote>
  <w:footnote w:type="continuationSeparator" w:id="0">
    <w:p w14:paraId="18CD5848" w14:textId="77777777" w:rsidR="006105F8" w:rsidRDefault="006105F8" w:rsidP="00C30B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0A10" w14:textId="77777777" w:rsidR="005E31A1" w:rsidRDefault="005E3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1B77C" w14:textId="77777777" w:rsidR="005E31A1" w:rsidRDefault="005E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F4963" w14:textId="77777777" w:rsidR="005E31A1" w:rsidRDefault="005E3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C1706"/>
    <w:multiLevelType w:val="hybridMultilevel"/>
    <w:tmpl w:val="1472BD8E"/>
    <w:lvl w:ilvl="0" w:tplc="BC860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010ED"/>
    <w:multiLevelType w:val="hybridMultilevel"/>
    <w:tmpl w:val="3A983D8E"/>
    <w:lvl w:ilvl="0" w:tplc="D6C262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CF3A29"/>
    <w:multiLevelType w:val="hybridMultilevel"/>
    <w:tmpl w:val="415AA6DC"/>
    <w:lvl w:ilvl="0" w:tplc="2B4C50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64D16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0830F0"/>
    <w:multiLevelType w:val="hybridMultilevel"/>
    <w:tmpl w:val="5CF44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A5663"/>
    <w:multiLevelType w:val="hybridMultilevel"/>
    <w:tmpl w:val="96468150"/>
    <w:lvl w:ilvl="0" w:tplc="78C48C8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2E215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817137">
    <w:abstractNumId w:val="4"/>
  </w:num>
  <w:num w:numId="2" w16cid:durableId="1276863013">
    <w:abstractNumId w:val="1"/>
  </w:num>
  <w:num w:numId="3" w16cid:durableId="1840348474">
    <w:abstractNumId w:val="5"/>
  </w:num>
  <w:num w:numId="4" w16cid:durableId="774713382">
    <w:abstractNumId w:val="3"/>
  </w:num>
  <w:num w:numId="5" w16cid:durableId="1717972208">
    <w:abstractNumId w:val="6"/>
  </w:num>
  <w:num w:numId="6" w16cid:durableId="197551342">
    <w:abstractNumId w:val="0"/>
  </w:num>
  <w:num w:numId="7" w16cid:durableId="39600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3C5"/>
    <w:rsid w:val="00147633"/>
    <w:rsid w:val="001B2241"/>
    <w:rsid w:val="00253297"/>
    <w:rsid w:val="002E5A3A"/>
    <w:rsid w:val="003172A1"/>
    <w:rsid w:val="003546A3"/>
    <w:rsid w:val="003C3F00"/>
    <w:rsid w:val="004277B9"/>
    <w:rsid w:val="00463CD0"/>
    <w:rsid w:val="00477A18"/>
    <w:rsid w:val="004956AD"/>
    <w:rsid w:val="004B1BA2"/>
    <w:rsid w:val="004F4593"/>
    <w:rsid w:val="00541864"/>
    <w:rsid w:val="005E31A1"/>
    <w:rsid w:val="006105F8"/>
    <w:rsid w:val="00637070"/>
    <w:rsid w:val="00641F26"/>
    <w:rsid w:val="006813C3"/>
    <w:rsid w:val="006D25EC"/>
    <w:rsid w:val="007722D7"/>
    <w:rsid w:val="007F5C45"/>
    <w:rsid w:val="008114CA"/>
    <w:rsid w:val="0086264E"/>
    <w:rsid w:val="008C6125"/>
    <w:rsid w:val="00A0349B"/>
    <w:rsid w:val="00AF6573"/>
    <w:rsid w:val="00B0268C"/>
    <w:rsid w:val="00B35FFE"/>
    <w:rsid w:val="00BC43C5"/>
    <w:rsid w:val="00BD5323"/>
    <w:rsid w:val="00C3008C"/>
    <w:rsid w:val="00C30B05"/>
    <w:rsid w:val="00CD1DBA"/>
    <w:rsid w:val="00F42311"/>
    <w:rsid w:val="00FB3513"/>
    <w:rsid w:val="00FE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210C"/>
  <w15:docId w15:val="{D6B6B5D4-3EFA-4C32-A2EA-6E022687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18"/>
    <w:pPr>
      <w:spacing w:before="240" w:after="240"/>
    </w:pPr>
    <w:rPr>
      <w:rFonts w:ascii="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45"/>
    <w:pPr>
      <w:ind w:left="720"/>
      <w:contextualSpacing/>
    </w:pPr>
  </w:style>
  <w:style w:type="paragraph" w:styleId="Header">
    <w:name w:val="header"/>
    <w:basedOn w:val="Normal"/>
    <w:link w:val="HeaderChar"/>
    <w:uiPriority w:val="99"/>
    <w:unhideWhenUsed/>
    <w:rsid w:val="00C30B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0B05"/>
    <w:rPr>
      <w:rFonts w:ascii="Lucida Sans" w:hAnsi="Lucida Sans"/>
    </w:rPr>
  </w:style>
  <w:style w:type="paragraph" w:styleId="Footer">
    <w:name w:val="footer"/>
    <w:basedOn w:val="Normal"/>
    <w:link w:val="FooterChar"/>
    <w:uiPriority w:val="99"/>
    <w:unhideWhenUsed/>
    <w:rsid w:val="00C30B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30B05"/>
    <w:rPr>
      <w:rFonts w:ascii="Lucida Sans" w:hAnsi="Lucida Sans"/>
    </w:rPr>
  </w:style>
  <w:style w:type="paragraph" w:styleId="BalloonText">
    <w:name w:val="Balloon Text"/>
    <w:basedOn w:val="Normal"/>
    <w:link w:val="BalloonTextChar"/>
    <w:uiPriority w:val="99"/>
    <w:semiHidden/>
    <w:unhideWhenUsed/>
    <w:rsid w:val="00C30B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05"/>
    <w:rPr>
      <w:rFonts w:ascii="Tahoma" w:hAnsi="Tahoma" w:cs="Tahoma"/>
      <w:sz w:val="16"/>
      <w:szCs w:val="16"/>
    </w:rPr>
  </w:style>
  <w:style w:type="paragraph" w:styleId="NoSpacing">
    <w:name w:val="No Spacing"/>
    <w:uiPriority w:val="1"/>
    <w:qFormat/>
    <w:rsid w:val="006D25EC"/>
    <w:pPr>
      <w:spacing w:after="0" w:line="240" w:lineRule="auto"/>
    </w:pPr>
    <w:rPr>
      <w:rFonts w:ascii="Lucida Sans"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Jane</dc:creator>
  <cp:lastModifiedBy>Jane Green</cp:lastModifiedBy>
  <cp:revision>9</cp:revision>
  <dcterms:created xsi:type="dcterms:W3CDTF">2023-03-09T10:49:00Z</dcterms:created>
  <dcterms:modified xsi:type="dcterms:W3CDTF">2024-05-01T15:41:00Z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1c2da-5ba6-43c2-9d04-2e7b1cbc00a7_Enabled">
    <vt:lpwstr>true</vt:lpwstr>
  </property>
  <property fmtid="{D5CDD505-2E9C-101B-9397-08002B2CF9AE}" pid="3" name="MSIP_Label_86f1c2da-5ba6-43c2-9d04-2e7b1cbc00a7_SetDate">
    <vt:lpwstr>2023-09-21T09:57:51Z</vt:lpwstr>
  </property>
  <property fmtid="{D5CDD505-2E9C-101B-9397-08002B2CF9AE}" pid="4" name="MSIP_Label_86f1c2da-5ba6-43c2-9d04-2e7b1cbc00a7_Method">
    <vt:lpwstr>Standard</vt:lpwstr>
  </property>
  <property fmtid="{D5CDD505-2E9C-101B-9397-08002B2CF9AE}" pid="5" name="MSIP_Label_86f1c2da-5ba6-43c2-9d04-2e7b1cbc00a7_Name">
    <vt:lpwstr>Internal</vt:lpwstr>
  </property>
  <property fmtid="{D5CDD505-2E9C-101B-9397-08002B2CF9AE}" pid="6" name="MSIP_Label_86f1c2da-5ba6-43c2-9d04-2e7b1cbc00a7_SiteId">
    <vt:lpwstr>92dddc59-2f70-4354-9e3e-6253931db563</vt:lpwstr>
  </property>
  <property fmtid="{D5CDD505-2E9C-101B-9397-08002B2CF9AE}" pid="7" name="MSIP_Label_86f1c2da-5ba6-43c2-9d04-2e7b1cbc00a7_ActionId">
    <vt:lpwstr>44a50eb3-cde6-47a1-bedc-9ee446d1c13a</vt:lpwstr>
  </property>
  <property fmtid="{D5CDD505-2E9C-101B-9397-08002B2CF9AE}" pid="8" name="MSIP_Label_86f1c2da-5ba6-43c2-9d04-2e7b1cbc00a7_ContentBits">
    <vt:lpwstr>0</vt:lpwstr>
  </property>
</Properties>
</file>